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微软雅黑" w:hAnsi="微软雅黑" w:eastAsia="宋体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监管病区配套监控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基本要求：</w:t>
      </w:r>
      <w:bookmarkStart w:id="0" w:name="_GoBack"/>
      <w:bookmarkEnd w:id="0"/>
    </w:p>
    <w:tbl>
      <w:tblPr>
        <w:tblStyle w:val="6"/>
        <w:tblW w:w="9290" w:type="dxa"/>
        <w:tblInd w:w="-4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540"/>
        <w:gridCol w:w="4690"/>
        <w:gridCol w:w="1020"/>
        <w:gridCol w:w="1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设备名称</w:t>
            </w:r>
          </w:p>
        </w:tc>
        <w:tc>
          <w:tcPr>
            <w:tcW w:w="4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参数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200万高清红外枪机</w:t>
            </w:r>
          </w:p>
        </w:tc>
        <w:tc>
          <w:tcPr>
            <w:tcW w:w="4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采用星光级超低照度200万1/2.8英寸CMOS图像传感器，低照度效果好，图像清晰度高，最大分辨率1920x1080。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在1920x1080 @30fps下，码率设定为2Mbps，RJ45输出，清晰度不小于1100TVL。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★支持滤光片切换功能，摄像机可在白天、夜晚模式下自动切换滤光片进行成像。（公安部检验报告证明）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最低照度彩色：0.001lx，黑白：0.0001 lx。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支持H.265、H.264、MPEG4、MJPEG视频编码格式，其中H.265和H.264都支持Baseline/Main/High Profile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支持五码流技术，五码流可同时输出，主码流最大1920x1080@30fps，第二码流最大704x480@30fps，第三码流最大1920x1080 @30fps、第四码流最大704x480@30fps，第五码流最大1920x1080 @30fps。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★支持帧率动态控制功能，当触发报警时，视频录像帧率应自动调整至设定值。（公安部检验报告证明）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支持智能编码功能，摄像机开启智能编码功能后，码流节约1/2。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灰度等级不小于11级。信噪比不小于60dB。宽动态不小于106dB，且宽动态综合评价得分不小于132。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★设备与客户端之间用150米网线进行传输，数据包丢包率不大于0.05%。（公安部检验报告证明）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支持在20%丢包率的网络环境下，可正常显示监视画面。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红外补光距离不小于100米。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支持最多同时开启25个视频窗口进行画面浏览。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在IE浏览器下，具有认证模式设置选项，且RTSP认证具有basic和digest两种设置选项。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★支持区域曝光功能，可通过IE浏览器在预览画面框选出曝光区域，以该区域作为参考区域曝光。支持区域裁剪功能，裁剪后的视频图像分辨率可设置为704x480等7种分辨率。（公安部检验报告证明)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支持平台接入功能，在IE浏览器下，具有远程监控平台接入配置选项。（公安部检验报告证明）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★支持NAT穿越功能，在广域网环境下，支持主动发包动作以实现NAT穿越。（公安部检验报告证明）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★支持轻存储功能，在IE浏览器下，具有轻存储开启/关闭选项，功能开启后，样机有3种模式显示存储卡剩余存储时长及录像帧率。（公安部检验报告证明)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★支持场景自适应功能，可根据监控场景自动调节曝光模式。支持场景参数设置，可设置4套场景参数，不同场景参数可按设定时间自动切换。（公安部检验报告证明)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支持自动维护功能，摄像机可自动重启系统或删除旧文件。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支持IP67防护等级。支持DC12V供电，电源电压在DC12V±30%范围内变化时设备可以正常工作。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摄像机能够在-45~70摄氏度，湿度小于93%环境下稳定工作 。                                             带★部分投标时需提供公安部有效检测报告（提供复印件并加盖原厂商公章）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200万高清半球</w:t>
            </w:r>
          </w:p>
        </w:tc>
        <w:tc>
          <w:tcPr>
            <w:tcW w:w="4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 xml:space="preserve">采用超低照度200万1/2.7英寸CMOS图像传感器，低照度效果好，图像清晰度高，最大分辨率1920x1080。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★支持最多同时开启25个视频窗口进行画面浏览（公安部型式检验报告证明）。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在1920x1080 @25fps下，码率设定为1Mbps，RJ45输出，清晰度不小于1000TVL。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★支持滤光片切换功能，摄像机可在彩色/黑白模式下自动切换滤光片（公安部型式检验报告证明）。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最低照度彩色：0.001lx，黑白：0.0005 lx。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支持H.265、H.264、MJPEG视频编码格式，其中H.265和H.264都支持Baseline/Main/High Profile。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支持五码流技术，五码流可同时输出，主码流最大1920x1080@30fps，第二码流最大704x480@30fps，第三码流最大1920x1080 @30fps，第四码流最大704x480@30fps，第五码流最大1920x1080@30fps。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★支持帧率动态控制功能，当触发报警时，视频录像帧率应自动调整至设定值（公安部型式检验报告证明）。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在1920x1080 @30fps下，码率设定为1Mbps，图像传输延时≤200ms。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支持智能编码功能，摄像机开启智能编码功能后，码流节约1/2。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信噪比不小于56.5dB。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支持通过IE浏览器对视频图像的亮度，对比度，饱和度，锐度，gamma进行设置。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★在IE浏览器下，具有平台接入配置选项（公安部型式检验报告证明）。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支持匿名访问功能，用户无输入用户名和密码即能浏览视频图像。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★具有黑白名单功能，黑白名单最多可添加100个IP地址（公安部型式检验报告证明）。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★支持场景参数设置，可设置3套场景参数，不同场景参数可按时间自动切换（公安部型式检验报告证明)。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★支持自动维护功能，摄像机可根据设置时间自动重启系统或删除旧文件（公安部型式检验报告证明)。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具有区域曝光、背光补偿、强光抑制、自动增益、数字降噪、透雾、走廊模式、SVC、感兴趣区域、断网续传、断电保护等功能。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摄像机能够在-45~70摄氏度，湿度小于93%环境下稳定工作。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支持IP67防尘防水等级。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支持DC12V/POE供电，电源电压在DC(12±30%)V范围内变化时设备可以正常工作。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带★部分投标时需提供公安部有效检测报告（提供复印件并加盖原厂商公章）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光纤收发器</w:t>
            </w:r>
          </w:p>
        </w:tc>
        <w:tc>
          <w:tcPr>
            <w:tcW w:w="4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shd w:val="clear" w:color="auto" w:fill="FFFFFF"/>
              <w:jc w:val="left"/>
              <w:rPr>
                <w:rFonts w:ascii="微软雅黑" w:hAnsi="微软雅黑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b w:val="0"/>
                <w:kern w:val="0"/>
                <w:sz w:val="18"/>
                <w:szCs w:val="18"/>
              </w:rPr>
              <w:t>采用铝合金材质，</w:t>
            </w:r>
            <w:r>
              <w:rPr>
                <w:rFonts w:ascii="微软雅黑" w:hAnsi="微软雅黑"/>
                <w:b w:val="0"/>
                <w:color w:val="000000"/>
                <w:sz w:val="18"/>
                <w:szCs w:val="18"/>
              </w:rPr>
              <w:t>千兆单模单纤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千兆交换机</w:t>
            </w:r>
          </w:p>
        </w:tc>
        <w:tc>
          <w:tcPr>
            <w:tcW w:w="4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24口全千兆交换机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光模块</w:t>
            </w:r>
          </w:p>
        </w:tc>
        <w:tc>
          <w:tcPr>
            <w:tcW w:w="4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光模块-SFP-GE-多模模块-(850nm,0.55km,LC)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防雷器</w:t>
            </w:r>
          </w:p>
        </w:tc>
        <w:tc>
          <w:tcPr>
            <w:tcW w:w="4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网络电源二合一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光缆</w:t>
            </w:r>
          </w:p>
        </w:tc>
        <w:tc>
          <w:tcPr>
            <w:tcW w:w="4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6芯室外中心束管式千兆多模光缆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双绞线</w:t>
            </w:r>
          </w:p>
        </w:tc>
        <w:tc>
          <w:tcPr>
            <w:tcW w:w="4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六类非屏蔽双绞线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电源线</w:t>
            </w:r>
          </w:p>
        </w:tc>
        <w:tc>
          <w:tcPr>
            <w:tcW w:w="4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  <w:t>RVV3*1.5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立杆</w:t>
            </w:r>
          </w:p>
        </w:tc>
        <w:tc>
          <w:tcPr>
            <w:tcW w:w="4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4米，含立杆基础、电源箱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安装辅材</w:t>
            </w:r>
          </w:p>
        </w:tc>
        <w:tc>
          <w:tcPr>
            <w:tcW w:w="4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安装使用的线管及插板等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　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电气配管</w:t>
            </w:r>
          </w:p>
        </w:tc>
        <w:tc>
          <w:tcPr>
            <w:tcW w:w="4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1、材质:KBG，2、规格:DN25，3、配置形式及部位:符合现场要求4、开槽及恢复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电气配管</w:t>
            </w:r>
          </w:p>
        </w:tc>
        <w:tc>
          <w:tcPr>
            <w:tcW w:w="4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1、材质:PE，2、规格:DN32，3、配置形式及部位:暗配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300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弱电手孔井</w:t>
            </w:r>
          </w:p>
        </w:tc>
        <w:tc>
          <w:tcPr>
            <w:tcW w:w="4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井深、尺寸:600*600*800mm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管沟土方</w:t>
            </w:r>
          </w:p>
        </w:tc>
        <w:tc>
          <w:tcPr>
            <w:tcW w:w="4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1、土壤类别:自行勘察，余土弃置，综合考虑，回填要求:松填，包含井窖土方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60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645D8"/>
    <w:rsid w:val="6332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keepNext/>
      <w:jc w:val="center"/>
      <w:outlineLvl w:val="0"/>
    </w:pPr>
    <w:rPr>
      <w:b/>
      <w:bCs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0"/>
        <w:tab w:val="left" w:pos="993"/>
        <w:tab w:val="left" w:pos="1134"/>
      </w:tabs>
      <w:spacing w:after="0" w:line="500" w:lineRule="exact"/>
      <w:ind w:left="0" w:leftChars="0" w:firstLine="420" w:firstLineChars="200"/>
    </w:pPr>
    <w:rPr>
      <w:rFonts w:ascii="宋体"/>
      <w:sz w:val="28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2018-12-03T03:11:48Z</cp:lastPrinted>
  <dcterms:modified xsi:type="dcterms:W3CDTF">2018-12-03T03:13:00Z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